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C3" w:rsidRPr="00135DF7" w:rsidRDefault="006E04C3" w:rsidP="006E04C3">
      <w:pPr>
        <w:rPr>
          <w:rFonts w:ascii="Verdana" w:hAnsi="Verdana"/>
          <w:sz w:val="16"/>
          <w:szCs w:val="16"/>
        </w:rPr>
      </w:pPr>
      <w:bookmarkStart w:id="0" w:name="_GoBack"/>
      <w:bookmarkEnd w:id="0"/>
    </w:p>
    <w:p w:rsidR="001D4768" w:rsidRDefault="001D4768" w:rsidP="006E04C3">
      <w:pPr>
        <w:pStyle w:val="SemEspaamento"/>
        <w:jc w:val="center"/>
        <w:rPr>
          <w:rFonts w:ascii="Verdana" w:hAnsi="Verdana"/>
          <w:sz w:val="16"/>
          <w:szCs w:val="16"/>
        </w:rPr>
      </w:pPr>
    </w:p>
    <w:p w:rsidR="001D4768" w:rsidRDefault="001D4768" w:rsidP="006E04C3">
      <w:pPr>
        <w:pStyle w:val="SemEspaamento"/>
        <w:jc w:val="center"/>
        <w:rPr>
          <w:rFonts w:ascii="Verdana" w:hAnsi="Verdana"/>
          <w:sz w:val="16"/>
          <w:szCs w:val="16"/>
        </w:rPr>
      </w:pPr>
    </w:p>
    <w:p w:rsidR="001D4768" w:rsidRDefault="001D4768" w:rsidP="006E04C3">
      <w:pPr>
        <w:pStyle w:val="SemEspaamento"/>
        <w:jc w:val="center"/>
        <w:rPr>
          <w:rFonts w:ascii="Verdana" w:hAnsi="Verdana"/>
          <w:sz w:val="16"/>
          <w:szCs w:val="16"/>
        </w:rPr>
      </w:pPr>
    </w:p>
    <w:p w:rsidR="006E04C3" w:rsidRPr="006E04C3" w:rsidRDefault="006E04C3" w:rsidP="006E04C3">
      <w:pPr>
        <w:pStyle w:val="SemEspaamento"/>
        <w:jc w:val="center"/>
        <w:rPr>
          <w:rFonts w:ascii="Verdana" w:hAnsi="Verdana"/>
          <w:sz w:val="16"/>
          <w:szCs w:val="16"/>
        </w:rPr>
      </w:pPr>
      <w:r w:rsidRPr="006E04C3">
        <w:rPr>
          <w:rFonts w:ascii="Verdana" w:hAnsi="Verdana"/>
          <w:sz w:val="16"/>
          <w:szCs w:val="16"/>
        </w:rPr>
        <w:t>PORTARIA DETRAN MS “N” Nº 24, DE 11 DE MAIO DE 2018.</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ind w:left="3402"/>
        <w:jc w:val="both"/>
        <w:rPr>
          <w:rFonts w:ascii="Verdana" w:hAnsi="Verdana"/>
          <w:i/>
          <w:sz w:val="16"/>
          <w:szCs w:val="16"/>
        </w:rPr>
      </w:pPr>
      <w:r w:rsidRPr="006E04C3">
        <w:rPr>
          <w:rFonts w:ascii="Verdana" w:hAnsi="Verdana"/>
          <w:i/>
          <w:sz w:val="16"/>
          <w:szCs w:val="16"/>
        </w:rPr>
        <w:t>“Dispõe sobre o intercâmbio de informações entre o DETRAN/MS e os demais órgãos que</w:t>
      </w:r>
      <w:r>
        <w:rPr>
          <w:rFonts w:ascii="Verdana" w:hAnsi="Verdana"/>
          <w:i/>
          <w:sz w:val="16"/>
          <w:szCs w:val="16"/>
        </w:rPr>
        <w:t xml:space="preserve"> </w:t>
      </w:r>
      <w:r w:rsidRPr="006E04C3">
        <w:rPr>
          <w:rFonts w:ascii="Verdana" w:hAnsi="Verdana"/>
          <w:i/>
          <w:sz w:val="16"/>
          <w:szCs w:val="16"/>
        </w:rPr>
        <w:t>compõem o Sistema Nacional de Trânsito e dá</w:t>
      </w:r>
      <w:r>
        <w:rPr>
          <w:rFonts w:ascii="Verdana" w:hAnsi="Verdana"/>
          <w:i/>
          <w:sz w:val="16"/>
          <w:szCs w:val="16"/>
        </w:rPr>
        <w:t xml:space="preserve"> </w:t>
      </w:r>
      <w:r w:rsidRPr="006E04C3">
        <w:rPr>
          <w:rFonts w:ascii="Verdana" w:hAnsi="Verdana"/>
          <w:i/>
          <w:sz w:val="16"/>
          <w:szCs w:val="16"/>
        </w:rPr>
        <w:t>outras providências.”</w:t>
      </w:r>
    </w:p>
    <w:p w:rsidR="006E04C3" w:rsidRPr="006E04C3" w:rsidRDefault="006E04C3" w:rsidP="006E04C3">
      <w:pPr>
        <w:pStyle w:val="SemEspaamento"/>
        <w:jc w:val="both"/>
        <w:rPr>
          <w:rFonts w:ascii="Verdana" w:hAnsi="Verdana"/>
          <w:i/>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O DIRETOR-PRESIDENTE DO DEPARTAMENTO ESTADUAL DE TRÂNSITO DE MATO GROSSO DO SUL – DETRAN/MS, no uso de suas atribuições legais, e</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 xml:space="preserve">Considerando os dispostos no artigo 22 da lei nº 9.503, de 23 de setembro de 1997 - Código de Trânsito Brasileiro; </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 xml:space="preserve">Considerando a necessidade de estabelecer os valores inerentes às informações prestadas aos demais órgãos do Sistema Nacional de Trânsito, conforme estabelecido na Resolução do CONTRAN, n. 576, de 24 de fevereiro de 2016; </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 xml:space="preserve">RESOLVE: </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 xml:space="preserve">Art. 1º - Estabelecer Planilha de Custos e Serviços Prestados a Terceiros, referentes aos serviços prestados aos demais órgãos que compõem o Sistema Nacional de Trânsito. </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 xml:space="preserve">Art. 2º - Os valores estipulados nesta planilha são utilizados como base para a celebração de acordo formal (contrato, convênio ou acordo de cooperação) com o objetivo de formalizar e estabelecer procedimentos de cooperação entre as partes acordantes que propicie o cumprimento do que dispõe o CTB e viabilize a fiscalização, notificação de autuação, imposição e notificação de penalidades, arrecadação de multas e o consequente repasse financeiro. </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Art. 3º - Os Custos e Serviços Prestados a Terceiros estão fixados na forma do Anexo Único desta Portaria.</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 xml:space="preserve">Art. </w:t>
      </w:r>
      <w:r w:rsidR="00B90319">
        <w:rPr>
          <w:rFonts w:ascii="Verdana" w:hAnsi="Verdana"/>
          <w:sz w:val="16"/>
          <w:szCs w:val="16"/>
        </w:rPr>
        <w:t>4º</w:t>
      </w:r>
      <w:r w:rsidRPr="006E04C3">
        <w:rPr>
          <w:rFonts w:ascii="Verdana" w:hAnsi="Verdana"/>
          <w:sz w:val="16"/>
          <w:szCs w:val="16"/>
        </w:rPr>
        <w:t xml:space="preserve"> – Fica revogada a PORTARIA DETRAN “N” N.º 011, DE 15 DE JUNHO DE 2004, bem como suas atualizações e demais dispositivos em contrário.</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 xml:space="preserve">Art. </w:t>
      </w:r>
      <w:r w:rsidR="00B90319">
        <w:rPr>
          <w:rFonts w:ascii="Verdana" w:hAnsi="Verdana"/>
          <w:sz w:val="16"/>
          <w:szCs w:val="16"/>
        </w:rPr>
        <w:t>5º</w:t>
      </w:r>
      <w:r w:rsidRPr="006E04C3">
        <w:rPr>
          <w:rFonts w:ascii="Verdana" w:hAnsi="Verdana"/>
          <w:sz w:val="16"/>
          <w:szCs w:val="16"/>
        </w:rPr>
        <w:t xml:space="preserve"> - Esta Portaria entra em vigor na data de sua publicação.</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r w:rsidRPr="006E04C3">
        <w:rPr>
          <w:rFonts w:ascii="Verdana" w:hAnsi="Verdana"/>
          <w:sz w:val="16"/>
          <w:szCs w:val="16"/>
        </w:rPr>
        <w:t xml:space="preserve">Campo Grande (MS), 11 de maio de 2018. </w:t>
      </w: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both"/>
        <w:rPr>
          <w:rFonts w:ascii="Verdana" w:hAnsi="Verdana"/>
          <w:sz w:val="16"/>
          <w:szCs w:val="16"/>
        </w:rPr>
      </w:pPr>
    </w:p>
    <w:p w:rsidR="006E04C3" w:rsidRPr="006E04C3" w:rsidRDefault="006E04C3" w:rsidP="006E04C3">
      <w:pPr>
        <w:pStyle w:val="SemEspaamento"/>
        <w:jc w:val="center"/>
        <w:rPr>
          <w:rFonts w:ascii="Verdana" w:hAnsi="Verdana"/>
          <w:b/>
          <w:sz w:val="16"/>
          <w:szCs w:val="16"/>
        </w:rPr>
      </w:pPr>
      <w:r w:rsidRPr="006E04C3">
        <w:rPr>
          <w:rFonts w:ascii="Verdana" w:hAnsi="Verdana"/>
          <w:b/>
          <w:sz w:val="16"/>
          <w:szCs w:val="16"/>
        </w:rPr>
        <w:t>ROBERTO HASHIOKA SOLER</w:t>
      </w:r>
    </w:p>
    <w:p w:rsidR="006E04C3" w:rsidRPr="006E04C3" w:rsidRDefault="006E04C3" w:rsidP="006E04C3">
      <w:pPr>
        <w:pStyle w:val="SemEspaamento"/>
        <w:jc w:val="center"/>
        <w:rPr>
          <w:rFonts w:ascii="Verdana" w:hAnsi="Verdana"/>
          <w:sz w:val="16"/>
          <w:szCs w:val="16"/>
        </w:rPr>
      </w:pPr>
      <w:r w:rsidRPr="006E04C3">
        <w:rPr>
          <w:rFonts w:ascii="Verdana" w:hAnsi="Verdana"/>
          <w:sz w:val="16"/>
          <w:szCs w:val="16"/>
        </w:rPr>
        <w:t xml:space="preserve">Diretor-Presidente </w:t>
      </w:r>
    </w:p>
    <w:p w:rsidR="006E04C3" w:rsidRPr="006E04C3" w:rsidRDefault="006E04C3" w:rsidP="006E04C3">
      <w:pPr>
        <w:rPr>
          <w:rFonts w:ascii="Verdana" w:hAnsi="Verdana"/>
          <w:sz w:val="16"/>
          <w:szCs w:val="16"/>
        </w:rPr>
      </w:pPr>
    </w:p>
    <w:p w:rsidR="006E04C3" w:rsidRPr="006E04C3" w:rsidRDefault="001C1659" w:rsidP="006E04C3">
      <w:pPr>
        <w:jc w:val="center"/>
        <w:rPr>
          <w:rFonts w:ascii="Verdana" w:hAnsi="Verdana"/>
          <w:sz w:val="16"/>
          <w:szCs w:val="16"/>
        </w:rPr>
      </w:pPr>
      <w:r>
        <w:rPr>
          <w:rFonts w:ascii="Verdana" w:hAnsi="Verdana"/>
          <w:sz w:val="16"/>
          <w:szCs w:val="16"/>
        </w:rPr>
        <w:t>ANEXO</w:t>
      </w:r>
    </w:p>
    <w:p w:rsidR="006E04C3" w:rsidRPr="006E04C3" w:rsidRDefault="006E04C3" w:rsidP="006E04C3">
      <w:pPr>
        <w:jc w:val="center"/>
        <w:rPr>
          <w:rFonts w:ascii="Verdana" w:hAnsi="Verdana"/>
          <w:b/>
          <w:sz w:val="16"/>
          <w:szCs w:val="16"/>
        </w:rPr>
      </w:pPr>
    </w:p>
    <w:p w:rsidR="006E04C3" w:rsidRPr="006E04C3" w:rsidRDefault="006E04C3" w:rsidP="006E04C3">
      <w:pPr>
        <w:pBdr>
          <w:top w:val="single" w:sz="4" w:space="1" w:color="auto"/>
          <w:left w:val="single" w:sz="4" w:space="4" w:color="auto"/>
          <w:bottom w:val="single" w:sz="4" w:space="1" w:color="auto"/>
          <w:right w:val="single" w:sz="4" w:space="4" w:color="auto"/>
        </w:pBdr>
        <w:jc w:val="center"/>
        <w:rPr>
          <w:rFonts w:ascii="Verdana" w:hAnsi="Verdana"/>
          <w:sz w:val="16"/>
          <w:szCs w:val="16"/>
        </w:rPr>
      </w:pPr>
      <w:r w:rsidRPr="006E04C3">
        <w:rPr>
          <w:rFonts w:ascii="Verdana" w:hAnsi="Verdana"/>
          <w:sz w:val="16"/>
          <w:szCs w:val="16"/>
        </w:rPr>
        <w:t>PLANILHA DE CUSTOS DE SERVIÇOS PRESTADOS A TERCEIROS</w:t>
      </w:r>
    </w:p>
    <w:p w:rsidR="006E04C3" w:rsidRPr="006E04C3" w:rsidRDefault="006E04C3" w:rsidP="006E04C3">
      <w:pPr>
        <w:rPr>
          <w:rFonts w:ascii="Verdana" w:hAnsi="Verdana"/>
          <w:sz w:val="16"/>
          <w:szCs w:val="16"/>
        </w:rPr>
      </w:pPr>
    </w:p>
    <w:tbl>
      <w:tblPr>
        <w:tblStyle w:val="Tabelacomgrade"/>
        <w:tblW w:w="0" w:type="auto"/>
        <w:tblLook w:val="04A0" w:firstRow="1" w:lastRow="0" w:firstColumn="1" w:lastColumn="0" w:noHBand="0" w:noVBand="1"/>
      </w:tblPr>
      <w:tblGrid>
        <w:gridCol w:w="5351"/>
        <w:gridCol w:w="1951"/>
      </w:tblGrid>
      <w:tr w:rsidR="006E04C3" w:rsidRPr="006E04C3" w:rsidTr="00E07832">
        <w:tc>
          <w:tcPr>
            <w:tcW w:w="7338" w:type="dxa"/>
            <w:tcBorders>
              <w:bottom w:val="single" w:sz="4" w:space="0" w:color="auto"/>
            </w:tcBorders>
          </w:tcPr>
          <w:p w:rsidR="006E04C3" w:rsidRPr="006E04C3" w:rsidRDefault="006E04C3" w:rsidP="00E07832">
            <w:pPr>
              <w:rPr>
                <w:rFonts w:ascii="Verdana" w:hAnsi="Verdana"/>
                <w:b/>
                <w:sz w:val="16"/>
                <w:szCs w:val="16"/>
              </w:rPr>
            </w:pPr>
            <w:r w:rsidRPr="006E04C3">
              <w:rPr>
                <w:rFonts w:ascii="Verdana" w:hAnsi="Verdana"/>
                <w:b/>
                <w:sz w:val="16"/>
                <w:szCs w:val="16"/>
              </w:rPr>
              <w:t>SERVIÇOS</w:t>
            </w:r>
          </w:p>
        </w:tc>
        <w:tc>
          <w:tcPr>
            <w:tcW w:w="2516" w:type="dxa"/>
            <w:tcBorders>
              <w:bottom w:val="single" w:sz="4" w:space="0" w:color="auto"/>
            </w:tcBorders>
          </w:tcPr>
          <w:p w:rsidR="006E04C3" w:rsidRPr="006E04C3" w:rsidRDefault="006E04C3" w:rsidP="00E07832">
            <w:pPr>
              <w:rPr>
                <w:rFonts w:ascii="Verdana" w:hAnsi="Verdana"/>
                <w:b/>
                <w:sz w:val="16"/>
                <w:szCs w:val="16"/>
              </w:rPr>
            </w:pPr>
            <w:r w:rsidRPr="006E04C3">
              <w:rPr>
                <w:rFonts w:ascii="Verdana" w:hAnsi="Verdana"/>
                <w:b/>
                <w:sz w:val="16"/>
                <w:szCs w:val="16"/>
              </w:rPr>
              <w:t>CUSTO (R$)</w:t>
            </w:r>
          </w:p>
        </w:tc>
      </w:tr>
      <w:tr w:rsidR="006E04C3" w:rsidRPr="006E04C3" w:rsidTr="00E07832">
        <w:tc>
          <w:tcPr>
            <w:tcW w:w="7338" w:type="dxa"/>
            <w:tcBorders>
              <w:top w:val="single" w:sz="4" w:space="0" w:color="auto"/>
              <w:left w:val="nil"/>
              <w:bottom w:val="single" w:sz="4" w:space="0" w:color="auto"/>
              <w:right w:val="nil"/>
            </w:tcBorders>
          </w:tcPr>
          <w:p w:rsidR="006E04C3" w:rsidRPr="006E04C3" w:rsidRDefault="006E04C3" w:rsidP="00E07832">
            <w:pPr>
              <w:rPr>
                <w:rFonts w:ascii="Verdana" w:hAnsi="Verdana"/>
                <w:b/>
                <w:sz w:val="16"/>
                <w:szCs w:val="16"/>
              </w:rPr>
            </w:pPr>
          </w:p>
        </w:tc>
        <w:tc>
          <w:tcPr>
            <w:tcW w:w="2516" w:type="dxa"/>
            <w:tcBorders>
              <w:top w:val="single" w:sz="4" w:space="0" w:color="auto"/>
              <w:left w:val="nil"/>
              <w:bottom w:val="single" w:sz="4" w:space="0" w:color="auto"/>
              <w:right w:val="nil"/>
            </w:tcBorders>
          </w:tcPr>
          <w:p w:rsidR="006E04C3" w:rsidRPr="006E04C3" w:rsidRDefault="006E04C3" w:rsidP="00E07832">
            <w:pPr>
              <w:rPr>
                <w:rFonts w:ascii="Verdana" w:hAnsi="Verdana"/>
                <w:b/>
                <w:sz w:val="16"/>
                <w:szCs w:val="16"/>
              </w:rPr>
            </w:pPr>
          </w:p>
        </w:tc>
      </w:tr>
      <w:tr w:rsidR="006E04C3" w:rsidRPr="006E04C3" w:rsidTr="00E07832">
        <w:tc>
          <w:tcPr>
            <w:tcW w:w="9854" w:type="dxa"/>
            <w:gridSpan w:val="2"/>
            <w:tcBorders>
              <w:top w:val="single" w:sz="4" w:space="0" w:color="auto"/>
            </w:tcBorders>
          </w:tcPr>
          <w:p w:rsidR="006E04C3" w:rsidRPr="006E04C3" w:rsidRDefault="006E04C3" w:rsidP="00E07832">
            <w:pPr>
              <w:rPr>
                <w:rFonts w:ascii="Verdana" w:hAnsi="Verdana"/>
                <w:b/>
                <w:sz w:val="16"/>
                <w:szCs w:val="16"/>
              </w:rPr>
            </w:pPr>
            <w:r w:rsidRPr="006E04C3">
              <w:rPr>
                <w:rFonts w:ascii="Verdana" w:hAnsi="Verdana"/>
                <w:b/>
                <w:sz w:val="16"/>
                <w:szCs w:val="16"/>
              </w:rPr>
              <w:t xml:space="preserve">SERVIÇOS OBRIGATÓRIOS </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 Acesso aos dados cadastrais do veículo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6,50</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2. Acesso aos dados cadastrais do condutor</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6,50</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3. Registro da infração (autuação)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1,00</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4. Registro de multa (penalidade)</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1,00</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5. Registro da pontuação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1,00</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6. Bloqueio / Desbloqueio de multas</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3,00</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7. Bloqueio / Desbloqueio Administrativo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3,00</w:t>
            </w:r>
          </w:p>
        </w:tc>
      </w:tr>
      <w:tr w:rsidR="006E04C3" w:rsidRPr="006E04C3" w:rsidTr="00E07832">
        <w:tc>
          <w:tcPr>
            <w:tcW w:w="7338" w:type="dxa"/>
            <w:tcBorders>
              <w:bottom w:val="single" w:sz="4" w:space="0" w:color="auto"/>
            </w:tcBorders>
          </w:tcPr>
          <w:p w:rsidR="006E04C3" w:rsidRPr="006E04C3" w:rsidRDefault="006E04C3" w:rsidP="00E07832">
            <w:pPr>
              <w:rPr>
                <w:rFonts w:ascii="Verdana" w:hAnsi="Verdana"/>
                <w:sz w:val="16"/>
                <w:szCs w:val="16"/>
              </w:rPr>
            </w:pPr>
            <w:r w:rsidRPr="006E04C3">
              <w:rPr>
                <w:rFonts w:ascii="Verdana" w:hAnsi="Verdana"/>
                <w:sz w:val="16"/>
                <w:szCs w:val="16"/>
              </w:rPr>
              <w:t>8. Bloqueio / Desbloqueio Judicial</w:t>
            </w:r>
          </w:p>
        </w:tc>
        <w:tc>
          <w:tcPr>
            <w:tcW w:w="2516" w:type="dxa"/>
            <w:tcBorders>
              <w:bottom w:val="single" w:sz="4" w:space="0" w:color="auto"/>
            </w:tcBorders>
          </w:tcPr>
          <w:p w:rsidR="006E04C3" w:rsidRPr="006E04C3" w:rsidRDefault="006E04C3" w:rsidP="00E07832">
            <w:pPr>
              <w:jc w:val="center"/>
              <w:rPr>
                <w:rFonts w:ascii="Verdana" w:hAnsi="Verdana"/>
                <w:sz w:val="16"/>
                <w:szCs w:val="16"/>
              </w:rPr>
            </w:pPr>
            <w:r w:rsidRPr="006E04C3">
              <w:rPr>
                <w:rFonts w:ascii="Verdana" w:hAnsi="Verdana"/>
                <w:sz w:val="16"/>
                <w:szCs w:val="16"/>
              </w:rPr>
              <w:t>3,00</w:t>
            </w:r>
          </w:p>
        </w:tc>
      </w:tr>
      <w:tr w:rsidR="006E04C3" w:rsidRPr="006E04C3" w:rsidTr="00E07832">
        <w:tc>
          <w:tcPr>
            <w:tcW w:w="7338" w:type="dxa"/>
            <w:tcBorders>
              <w:bottom w:val="single" w:sz="4" w:space="0" w:color="auto"/>
            </w:tcBorders>
          </w:tcPr>
          <w:p w:rsidR="006E04C3" w:rsidRPr="006E04C3" w:rsidRDefault="006E04C3" w:rsidP="00E07832">
            <w:pPr>
              <w:rPr>
                <w:rFonts w:ascii="Verdana" w:hAnsi="Verdana"/>
                <w:sz w:val="16"/>
                <w:szCs w:val="16"/>
              </w:rPr>
            </w:pPr>
            <w:r w:rsidRPr="006E04C3">
              <w:rPr>
                <w:rFonts w:ascii="Verdana" w:hAnsi="Verdana"/>
                <w:sz w:val="16"/>
                <w:szCs w:val="16"/>
              </w:rPr>
              <w:t>9. Bloqueio / Desbloqueio de Pontuação</w:t>
            </w:r>
          </w:p>
        </w:tc>
        <w:tc>
          <w:tcPr>
            <w:tcW w:w="2516" w:type="dxa"/>
            <w:tcBorders>
              <w:bottom w:val="single" w:sz="4" w:space="0" w:color="auto"/>
            </w:tcBorders>
          </w:tcPr>
          <w:p w:rsidR="006E04C3" w:rsidRPr="006E04C3" w:rsidRDefault="006E04C3" w:rsidP="00E07832">
            <w:pPr>
              <w:jc w:val="center"/>
              <w:rPr>
                <w:rFonts w:ascii="Verdana" w:hAnsi="Verdana"/>
                <w:sz w:val="16"/>
                <w:szCs w:val="16"/>
              </w:rPr>
            </w:pPr>
            <w:r w:rsidRPr="006E04C3">
              <w:rPr>
                <w:rFonts w:ascii="Verdana" w:hAnsi="Verdana"/>
                <w:sz w:val="16"/>
                <w:szCs w:val="16"/>
              </w:rPr>
              <w:t>3,00</w:t>
            </w:r>
          </w:p>
        </w:tc>
      </w:tr>
      <w:tr w:rsidR="006E04C3" w:rsidRPr="006E04C3" w:rsidTr="00E07832">
        <w:tc>
          <w:tcPr>
            <w:tcW w:w="9854" w:type="dxa"/>
            <w:gridSpan w:val="2"/>
            <w:tcBorders>
              <w:top w:val="nil"/>
              <w:left w:val="nil"/>
              <w:bottom w:val="single" w:sz="4" w:space="0" w:color="auto"/>
              <w:right w:val="nil"/>
            </w:tcBorders>
          </w:tcPr>
          <w:p w:rsidR="006E04C3" w:rsidRDefault="006E04C3" w:rsidP="00E07832">
            <w:pPr>
              <w:rPr>
                <w:rFonts w:ascii="Verdana" w:hAnsi="Verdana"/>
                <w:b/>
                <w:sz w:val="16"/>
                <w:szCs w:val="16"/>
              </w:rPr>
            </w:pPr>
          </w:p>
          <w:p w:rsidR="006E04C3" w:rsidRDefault="006E04C3" w:rsidP="00E07832">
            <w:pPr>
              <w:rPr>
                <w:rFonts w:ascii="Verdana" w:hAnsi="Verdana"/>
                <w:b/>
                <w:sz w:val="16"/>
                <w:szCs w:val="16"/>
              </w:rPr>
            </w:pPr>
          </w:p>
          <w:p w:rsidR="006E04C3" w:rsidRPr="006E04C3" w:rsidRDefault="006E04C3" w:rsidP="00E07832">
            <w:pPr>
              <w:rPr>
                <w:rFonts w:ascii="Verdana" w:hAnsi="Verdana"/>
                <w:b/>
                <w:sz w:val="16"/>
                <w:szCs w:val="16"/>
              </w:rPr>
            </w:pPr>
          </w:p>
        </w:tc>
      </w:tr>
      <w:tr w:rsidR="006E04C3" w:rsidRPr="006E04C3" w:rsidTr="00E07832">
        <w:tc>
          <w:tcPr>
            <w:tcW w:w="9854" w:type="dxa"/>
            <w:gridSpan w:val="2"/>
            <w:tcBorders>
              <w:top w:val="single" w:sz="4" w:space="0" w:color="auto"/>
            </w:tcBorders>
          </w:tcPr>
          <w:p w:rsidR="006E04C3" w:rsidRPr="006E04C3" w:rsidRDefault="006E04C3" w:rsidP="00E07832">
            <w:pPr>
              <w:rPr>
                <w:rFonts w:ascii="Verdana" w:hAnsi="Verdana"/>
                <w:b/>
                <w:sz w:val="16"/>
                <w:szCs w:val="16"/>
              </w:rPr>
            </w:pPr>
            <w:r w:rsidRPr="006E04C3">
              <w:rPr>
                <w:rFonts w:ascii="Verdana" w:hAnsi="Verdana"/>
                <w:b/>
                <w:sz w:val="16"/>
                <w:szCs w:val="16"/>
              </w:rPr>
              <w:t>SERVIÇOS NÃO OBRIGATÓRIOS</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10. Emissão de Notificação de Autuação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7,62</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11. Emissão de Notificação de Penalidade</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7,62</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12. Emissão de Notificação de Advertência por escrito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7,62</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13. Postagem de Notificação com AR</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11,85</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14. Postagem de Aviso, Comunicado ou Resultado de Recurso sem AR</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6,85</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15. Emissão de documento de pagamento de multa</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7,62</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16. Registro de Recurso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1,50</w:t>
            </w:r>
          </w:p>
        </w:tc>
      </w:tr>
      <w:tr w:rsidR="006E04C3" w:rsidRPr="006E04C3" w:rsidTr="00E07832">
        <w:trPr>
          <w:trHeight w:val="56"/>
        </w:trPr>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17. Inclusão de Imagem de Infração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5,00</w:t>
            </w:r>
          </w:p>
        </w:tc>
      </w:tr>
      <w:tr w:rsidR="006E04C3" w:rsidRPr="006E04C3" w:rsidTr="00E07832">
        <w:tc>
          <w:tcPr>
            <w:tcW w:w="7338" w:type="dxa"/>
          </w:tcPr>
          <w:p w:rsidR="006E04C3" w:rsidRPr="006E04C3" w:rsidRDefault="006E04C3" w:rsidP="00E07832">
            <w:pPr>
              <w:rPr>
                <w:rFonts w:ascii="Verdana" w:hAnsi="Verdana"/>
                <w:sz w:val="16"/>
                <w:szCs w:val="16"/>
              </w:rPr>
            </w:pPr>
            <w:r w:rsidRPr="006E04C3">
              <w:rPr>
                <w:rFonts w:ascii="Verdana" w:hAnsi="Verdana"/>
                <w:sz w:val="16"/>
                <w:szCs w:val="16"/>
              </w:rPr>
              <w:t>18. Despesa bancária para arrecadar multa (por linha na guia de arrecadação)</w:t>
            </w:r>
          </w:p>
        </w:tc>
        <w:tc>
          <w:tcPr>
            <w:tcW w:w="2516" w:type="dxa"/>
          </w:tcPr>
          <w:p w:rsidR="006E04C3" w:rsidRPr="006E04C3" w:rsidRDefault="006E04C3" w:rsidP="00E07832">
            <w:pPr>
              <w:jc w:val="center"/>
              <w:rPr>
                <w:rFonts w:ascii="Verdana" w:hAnsi="Verdana"/>
                <w:sz w:val="16"/>
                <w:szCs w:val="16"/>
              </w:rPr>
            </w:pPr>
            <w:r w:rsidRPr="006E04C3">
              <w:rPr>
                <w:rFonts w:ascii="Verdana" w:hAnsi="Verdana"/>
                <w:sz w:val="16"/>
                <w:szCs w:val="16"/>
              </w:rPr>
              <w:t>0,50</w:t>
            </w:r>
          </w:p>
        </w:tc>
      </w:tr>
    </w:tbl>
    <w:p w:rsidR="006E04C3" w:rsidRDefault="006E04C3" w:rsidP="006E04C3"/>
    <w:sectPr w:rsidR="006E04C3" w:rsidSect="006E04C3">
      <w:headerReference w:type="default" r:id="rId7"/>
      <w:footerReference w:type="default" r:id="rId8"/>
      <w:pgSz w:w="11906" w:h="16838" w:code="9"/>
      <w:pgMar w:top="1899" w:right="226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525" w:rsidRDefault="00C10525" w:rsidP="00BD1078">
      <w:r>
        <w:separator/>
      </w:r>
    </w:p>
  </w:endnote>
  <w:endnote w:type="continuationSeparator" w:id="0">
    <w:p w:rsidR="00C10525" w:rsidRDefault="00C10525" w:rsidP="00BD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832" w:rsidRDefault="00673EEF">
    <w:pPr>
      <w:pStyle w:val="Rodap"/>
      <w:ind w:left="-1083"/>
    </w:pPr>
    <w:r>
      <w:rPr>
        <w:noProof/>
      </w:rPr>
      <w:drawing>
        <wp:inline distT="0" distB="0" distL="0" distR="0">
          <wp:extent cx="6105525" cy="7524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525" w:rsidRDefault="00C10525" w:rsidP="00BD1078">
      <w:r>
        <w:separator/>
      </w:r>
    </w:p>
  </w:footnote>
  <w:footnote w:type="continuationSeparator" w:id="0">
    <w:p w:rsidR="00C10525" w:rsidRDefault="00C10525" w:rsidP="00BD1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832" w:rsidRDefault="00673EEF">
    <w:pPr>
      <w:pStyle w:val="Cabealho"/>
      <w:ind w:left="-1083"/>
    </w:pPr>
    <w:r>
      <w:rPr>
        <w:noProof/>
      </w:rPr>
      <w:drawing>
        <wp:inline distT="0" distB="0" distL="0" distR="0">
          <wp:extent cx="6105525" cy="838200"/>
          <wp:effectExtent l="0" t="0" r="9525" b="0"/>
          <wp:docPr id="1" name="Imagem 1"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C3"/>
    <w:rsid w:val="000E46C4"/>
    <w:rsid w:val="001C1659"/>
    <w:rsid w:val="001D4768"/>
    <w:rsid w:val="00284497"/>
    <w:rsid w:val="00334867"/>
    <w:rsid w:val="00673EEF"/>
    <w:rsid w:val="00674A74"/>
    <w:rsid w:val="006E04C3"/>
    <w:rsid w:val="00884ACD"/>
    <w:rsid w:val="008F4D1A"/>
    <w:rsid w:val="009F633E"/>
    <w:rsid w:val="00B90319"/>
    <w:rsid w:val="00BD1078"/>
    <w:rsid w:val="00BE2EA6"/>
    <w:rsid w:val="00C10525"/>
    <w:rsid w:val="00E07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4D418-A020-47C4-8989-9489F128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C3"/>
    <w:pPr>
      <w:spacing w:line="240" w:lineRule="auto"/>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04C3"/>
    <w:pPr>
      <w:tabs>
        <w:tab w:val="center" w:pos="4252"/>
        <w:tab w:val="right" w:pos="8504"/>
      </w:tabs>
    </w:pPr>
  </w:style>
  <w:style w:type="character" w:customStyle="1" w:styleId="CabealhoChar">
    <w:name w:val="Cabeçalho Char"/>
    <w:basedOn w:val="Fontepargpadro"/>
    <w:link w:val="Cabealho"/>
    <w:rsid w:val="006E04C3"/>
    <w:rPr>
      <w:rFonts w:ascii="Times New Roman" w:eastAsia="Times New Roman" w:hAnsi="Times New Roman" w:cs="Times New Roman"/>
      <w:sz w:val="20"/>
      <w:szCs w:val="20"/>
      <w:lang w:eastAsia="pt-BR"/>
    </w:rPr>
  </w:style>
  <w:style w:type="paragraph" w:styleId="Rodap">
    <w:name w:val="footer"/>
    <w:basedOn w:val="Normal"/>
    <w:link w:val="RodapChar"/>
    <w:rsid w:val="006E04C3"/>
    <w:pPr>
      <w:tabs>
        <w:tab w:val="center" w:pos="4252"/>
        <w:tab w:val="right" w:pos="8504"/>
      </w:tabs>
    </w:pPr>
  </w:style>
  <w:style w:type="character" w:customStyle="1" w:styleId="RodapChar">
    <w:name w:val="Rodapé Char"/>
    <w:basedOn w:val="Fontepargpadro"/>
    <w:link w:val="Rodap"/>
    <w:rsid w:val="006E04C3"/>
    <w:rPr>
      <w:rFonts w:ascii="Times New Roman" w:eastAsia="Times New Roman" w:hAnsi="Times New Roman" w:cs="Times New Roman"/>
      <w:sz w:val="20"/>
      <w:szCs w:val="20"/>
      <w:lang w:eastAsia="pt-BR"/>
    </w:rPr>
  </w:style>
  <w:style w:type="paragraph" w:styleId="SemEspaamento">
    <w:name w:val="No Spacing"/>
    <w:uiPriority w:val="1"/>
    <w:qFormat/>
    <w:rsid w:val="006E04C3"/>
    <w:pPr>
      <w:spacing w:line="240" w:lineRule="auto"/>
      <w:jc w:val="left"/>
    </w:pPr>
  </w:style>
  <w:style w:type="table" w:styleId="Tabelacomgrade">
    <w:name w:val="Table Grid"/>
    <w:basedOn w:val="Tabelanormal"/>
    <w:rsid w:val="006E04C3"/>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2334-8CAF-46BC-A1B5-4F433B78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56932790149</dc:creator>
  <cp:lastModifiedBy>Vivianne Nunes Santos</cp:lastModifiedBy>
  <cp:revision>2</cp:revision>
  <cp:lastPrinted>2018-06-15T15:11:00Z</cp:lastPrinted>
  <dcterms:created xsi:type="dcterms:W3CDTF">2018-07-19T15:44:00Z</dcterms:created>
  <dcterms:modified xsi:type="dcterms:W3CDTF">2018-07-19T15:44:00Z</dcterms:modified>
</cp:coreProperties>
</file>