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</w:p>
    <w:p>
      <w:pPr>
        <w:pStyle w:val="Normal"/>
        <w:ind w:right="360" w:firstLine="540"/>
        <w:jc w:val="both"/>
        <w:rPr/>
      </w:pPr>
      <w:r>
        <w:rPr>
          <w:rFonts w:ascii="Verdana" w:hAnsi="Verdana"/>
          <w:sz w:val="16"/>
          <w:szCs w:val="16"/>
        </w:rPr>
        <w:t>PORTARIA DETRAN MS “N” N. 0</w:t>
      </w:r>
      <w:r>
        <w:rPr>
          <w:rFonts w:ascii="Verdana" w:hAnsi="Verdana"/>
          <w:sz w:val="16"/>
          <w:szCs w:val="16"/>
        </w:rPr>
        <w:t>34</w:t>
      </w:r>
      <w:r>
        <w:rPr>
          <w:rFonts w:ascii="Verdana" w:hAnsi="Verdana"/>
          <w:sz w:val="16"/>
          <w:szCs w:val="16"/>
        </w:rPr>
        <w:t xml:space="preserve">, DE </w:t>
      </w:r>
      <w:r>
        <w:rPr>
          <w:rFonts w:ascii="Verdana" w:hAnsi="Verdana"/>
          <w:sz w:val="16"/>
          <w:szCs w:val="16"/>
        </w:rPr>
        <w:t>03</w:t>
      </w:r>
      <w:r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SETEMBRO</w:t>
      </w:r>
      <w:r>
        <w:rPr>
          <w:rFonts w:ascii="Verdana" w:hAnsi="Verdana"/>
          <w:sz w:val="16"/>
          <w:szCs w:val="16"/>
        </w:rPr>
        <w:t xml:space="preserve"> DE 2018.</w:t>
      </w:r>
    </w:p>
    <w:p>
      <w:pPr>
        <w:pStyle w:val="Normal"/>
        <w:ind w:right="360" w:firstLine="540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ind w:left="3402" w:right="360" w:hanging="0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“</w:t>
      </w:r>
      <w:r>
        <w:rPr>
          <w:rFonts w:ascii="Verdana" w:hAnsi="Verdana"/>
          <w:iCs/>
          <w:sz w:val="16"/>
          <w:szCs w:val="16"/>
        </w:rPr>
        <w:t>Retifica a Portaria “N” que menciona e dá outras providências”.</w:t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Diretor-Presidente do Departamento Estadual de Trânsito de Mato Grosso do Sul – DETRAN-MS, no uso de suas atribuições legais, e </w:t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RESOLVE:</w:t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right="360" w:firstLine="540"/>
        <w:jc w:val="both"/>
        <w:rPr/>
      </w:pPr>
      <w:r>
        <w:rPr>
          <w:rFonts w:cs="Arial" w:ascii="Verdana" w:hAnsi="Verdana"/>
          <w:sz w:val="16"/>
          <w:szCs w:val="16"/>
        </w:rPr>
        <w:t>Art. 1º - Retificar a Portaria “N” N.º 02</w:t>
      </w:r>
      <w:r>
        <w:rPr>
          <w:rFonts w:cs="Arial" w:ascii="Verdana" w:hAnsi="Verdana"/>
          <w:sz w:val="16"/>
          <w:szCs w:val="16"/>
        </w:rPr>
        <w:t>7</w:t>
      </w:r>
      <w:r>
        <w:rPr>
          <w:rFonts w:cs="Arial" w:ascii="Verdana" w:hAnsi="Verdana"/>
          <w:sz w:val="16"/>
          <w:szCs w:val="16"/>
        </w:rPr>
        <w:t xml:space="preserve">, de </w:t>
      </w:r>
      <w:r>
        <w:rPr>
          <w:rFonts w:cs="Arial" w:ascii="Verdana" w:hAnsi="Verdana"/>
          <w:sz w:val="16"/>
          <w:szCs w:val="16"/>
        </w:rPr>
        <w:t>28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 xml:space="preserve">junho </w:t>
      </w:r>
      <w:r>
        <w:rPr>
          <w:rFonts w:cs="Arial" w:ascii="Verdana" w:hAnsi="Verdana"/>
          <w:sz w:val="16"/>
          <w:szCs w:val="16"/>
        </w:rPr>
        <w:t xml:space="preserve">de 2018, publicada na página </w:t>
      </w:r>
      <w:r>
        <w:rPr>
          <w:rFonts w:cs="Arial" w:ascii="Verdana" w:hAnsi="Verdana"/>
          <w:sz w:val="16"/>
          <w:szCs w:val="16"/>
        </w:rPr>
        <w:t>17</w:t>
      </w:r>
      <w:r>
        <w:rPr>
          <w:rFonts w:cs="Arial" w:ascii="Verdana" w:hAnsi="Verdana"/>
          <w:sz w:val="16"/>
          <w:szCs w:val="16"/>
        </w:rPr>
        <w:t>, do Diário Oficial n. 9.6</w:t>
      </w:r>
      <w:r>
        <w:rPr>
          <w:rFonts w:cs="Arial" w:ascii="Verdana" w:hAnsi="Verdana"/>
          <w:sz w:val="16"/>
          <w:szCs w:val="16"/>
        </w:rPr>
        <w:t>86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>29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>junho</w:t>
      </w:r>
      <w:r>
        <w:rPr>
          <w:rFonts w:cs="Arial" w:ascii="Verdana" w:hAnsi="Verdana"/>
          <w:sz w:val="16"/>
          <w:szCs w:val="16"/>
        </w:rPr>
        <w:t xml:space="preserve"> de 2018, por constar incorreção no original, devendo:</w:t>
      </w:r>
    </w:p>
    <w:p>
      <w:pPr>
        <w:pStyle w:val="Normal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rFonts w:ascii="Verdana" w:hAnsi="Verdana"/>
          <w:sz w:val="16"/>
          <w:szCs w:val="16"/>
        </w:rPr>
        <w:t>ONDE CONSTA:</w:t>
      </w:r>
    </w:p>
    <w:p>
      <w:pPr>
        <w:pStyle w:val="Normal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§4º - Os sistemas informatizados homologados deverão ser capazes de produzir os vídeos de que trata este artigo assim como armazená-los, juntamente com todos os demais registros das vistorias, por no mínimo 12 (doze) meses em ambiente em conformidade à norma da ABNT NBR 11515 ou NBR 15247.</w:t>
      </w:r>
    </w:p>
    <w:p>
      <w:pPr>
        <w:pStyle w:val="Normal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rFonts w:ascii="Verdana" w:hAnsi="Verdana"/>
          <w:sz w:val="16"/>
          <w:szCs w:val="16"/>
        </w:rPr>
        <w:t>PASSE A CONSTAR:</w:t>
      </w:r>
    </w:p>
    <w:p>
      <w:pPr>
        <w:pStyle w:val="Normal"/>
        <w:ind w:firstLine="567"/>
        <w:jc w:val="both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rFonts w:ascii="Verdana" w:hAnsi="Verdana"/>
          <w:sz w:val="16"/>
          <w:szCs w:val="16"/>
        </w:rPr>
        <w:t>“</w:t>
      </w:r>
      <w:r>
        <w:rPr>
          <w:rFonts w:ascii="Verdana" w:hAnsi="Verdana"/>
          <w:sz w:val="16"/>
          <w:szCs w:val="16"/>
        </w:rPr>
        <w:t>Art. 1º[...]</w:t>
      </w:r>
    </w:p>
    <w:p>
      <w:pPr>
        <w:pStyle w:val="Normal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§4º - Os sistemas informatizados homologados deverão ser capazes de </w:t>
      </w:r>
      <w:r>
        <w:rPr>
          <w:rFonts w:cs="Arial" w:ascii="Verdana" w:hAnsi="Verdana"/>
          <w:sz w:val="16"/>
          <w:szCs w:val="16"/>
        </w:rPr>
        <w:t xml:space="preserve">armazenar os </w:t>
      </w:r>
      <w:r>
        <w:rPr>
          <w:rFonts w:cs="Arial" w:ascii="Verdana" w:hAnsi="Verdana"/>
          <w:sz w:val="16"/>
          <w:szCs w:val="16"/>
        </w:rPr>
        <w:t>vídeos de que trata este artigo, juntamente com todos os demais registros das vistorias, por no mínimo 12 (doze) meses em ambiente em conformidade à norma da ABNT NBR 11515 ou NBR 15247.</w:t>
      </w:r>
    </w:p>
    <w:p>
      <w:pPr>
        <w:pStyle w:val="Normal"/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[...]</w:t>
      </w:r>
    </w:p>
    <w:p>
      <w:pPr>
        <w:pStyle w:val="Normal"/>
        <w:ind w:right="36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right="707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Artigo 2° - Esta Portaria entra em vigor na data de sua publicação.</w:t>
      </w:r>
    </w:p>
    <w:p>
      <w:pPr>
        <w:pStyle w:val="Normal"/>
        <w:ind w:left="709" w:right="707" w:firstLine="1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ind w:firstLine="540"/>
        <w:jc w:val="both"/>
        <w:rPr/>
      </w:pPr>
      <w:r>
        <w:rPr>
          <w:rFonts w:ascii="Verdana" w:hAnsi="Verdana"/>
          <w:sz w:val="16"/>
          <w:szCs w:val="16"/>
        </w:rPr>
        <w:t xml:space="preserve">Campo Grande (MS), </w:t>
      </w:r>
      <w:r>
        <w:rPr>
          <w:rFonts w:ascii="Verdana" w:hAnsi="Verdana"/>
          <w:sz w:val="16"/>
          <w:szCs w:val="16"/>
        </w:rPr>
        <w:t>03</w:t>
      </w:r>
      <w:r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setembro</w:t>
      </w:r>
      <w:r>
        <w:rPr>
          <w:rFonts w:ascii="Verdana" w:hAnsi="Verdana"/>
          <w:sz w:val="16"/>
          <w:szCs w:val="16"/>
        </w:rPr>
        <w:t xml:space="preserve"> de 2018</w:t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Spacing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ROBERTO HASHIOKA SOLER</w:t>
      </w:r>
    </w:p>
    <w:p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 xml:space="preserve">Diretor-Presidente </w:t>
      </w:r>
    </w:p>
    <w:p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268" w:header="709" w:top="2835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6" w:space="1" w:color="00000A"/>
      </w:pBdr>
      <w:ind w:left="-1276" w:right="-1703" w:hanging="0"/>
      <w:rPr>
        <w:sz w:val="16"/>
      </w:rPr>
    </w:pPr>
    <w:r>
      <w:rPr>
        <w:sz w:val="16"/>
      </w:rPr>
    </w:r>
  </w:p>
  <w:p>
    <w:pPr>
      <w:pStyle w:val="Rodap"/>
      <w:ind w:left="-1276" w:right="-1703" w:hanging="0"/>
      <w:rPr>
        <w:rFonts w:ascii="Verdana" w:hAnsi="Verdana"/>
        <w:sz w:val="16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3752850</wp:posOffset>
          </wp:positionH>
          <wp:positionV relativeFrom="paragraph">
            <wp:posOffset>20955</wp:posOffset>
          </wp:positionV>
          <wp:extent cx="1777365" cy="570865"/>
          <wp:effectExtent l="0" t="0" r="0" b="0"/>
          <wp:wrapNone/>
          <wp:docPr id="2" name="Figura1" descr="C:\Users\rlui\Pictures\Logo_GOV_MS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C:\Users\rlui\Pictures\Logo_GOV_MS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>R</w:t>
    </w:r>
    <w:r>
      <w:rPr>
        <w:rFonts w:ascii="Verdana" w:hAnsi="Verdana"/>
        <w:sz w:val="16"/>
      </w:rPr>
      <w:t>odovia MS 080, Km 10 – CEP: 79114-901</w:t>
    </w:r>
  </w:p>
  <w:p>
    <w:pPr>
      <w:pStyle w:val="Rodap"/>
      <w:ind w:left="-1276" w:right="-1703" w:hanging="0"/>
      <w:rPr>
        <w:rFonts w:ascii="Verdana" w:hAnsi="Verdana"/>
        <w:sz w:val="16"/>
      </w:rPr>
    </w:pPr>
    <w:r>
      <w:rPr>
        <w:rFonts w:ascii="Verdana" w:hAnsi="Verdana"/>
        <w:sz w:val="16"/>
      </w:rPr>
      <w:t>Tel.: 67 3368.0100 – Campo Grande – MS</w:t>
    </w:r>
  </w:p>
  <w:p>
    <w:pPr>
      <w:pStyle w:val="Rodap"/>
      <w:ind w:left="-1276" w:right="-1703" w:hanging="0"/>
      <w:rPr>
        <w:rFonts w:ascii="Verdana" w:hAnsi="Verdana"/>
        <w:sz w:val="16"/>
      </w:rPr>
    </w:pPr>
    <w:r>
      <w:rPr>
        <w:rFonts w:ascii="Verdana" w:hAnsi="Verdana"/>
        <w:sz w:val="16"/>
      </w:rPr>
      <w:t>Central de Informações: 154 (Capital) – 67 3368.0500 (Interior)</w:t>
    </w:r>
  </w:p>
  <w:p>
    <w:pPr>
      <w:pStyle w:val="Rodap"/>
      <w:ind w:left="-1276" w:right="-1703" w:hanging="0"/>
      <w:rPr/>
    </w:pPr>
    <w:r>
      <w:rPr>
        <w:rFonts w:ascii="Verdana" w:hAnsi="Verdana"/>
        <w:sz w:val="16"/>
      </w:rPr>
      <w:t xml:space="preserve">Ouvidoria: 67 3368.0209 – </w:t>
    </w:r>
    <w:hyperlink r:id="rId2">
      <w:r>
        <w:rPr>
          <w:rStyle w:val="LinkdaInternet"/>
          <w:rFonts w:ascii="Verdana" w:hAnsi="Verdana"/>
          <w:sz w:val="16"/>
        </w:rPr>
        <w:t>http://www.detran.ms.gov.br</w:t>
      </w:r>
    </w:hyperlink>
  </w:p>
  <w:p>
    <w:pPr>
      <w:pStyle w:val="Normal"/>
      <w:ind w:left="-1276" w:right="-1703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115685" cy="843280"/>
          <wp:effectExtent l="0" t="0" r="0" b="0"/>
          <wp:wrapTight wrapText="bothSides">
            <wp:wrapPolygon edited="0">
              <wp:start x="-74" y="0"/>
              <wp:lineTo x="-74" y="20902"/>
              <wp:lineTo x="21580" y="20902"/>
              <wp:lineTo x="21580" y="0"/>
              <wp:lineTo x="-74" y="0"/>
            </wp:wrapPolygon>
          </wp:wrapTight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e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75e0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375e0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rsid w:val="00375e07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375e0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75e07"/>
    <w:pPr>
      <w:tabs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375e0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detran.m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1</Pages>
  <Words>230</Words>
  <Characters>1171</Characters>
  <CharactersWithSpaces>1394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2018-06-12T14:47:00Z</dcterms:created>
  <dc:creator>56932790149</dc:creator>
  <dc:description/>
  <dc:language>pt-BR</dc:language>
  <cp:lastModifiedBy/>
  <cp:lastPrinted>2018-09-03T13:20:21Z</cp:lastPrinted>
  <dcterms:modified xsi:type="dcterms:W3CDTF">2018-09-03T13:21:55Z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