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PORTARIA DETRAN-MS “N” Nº </w:t>
      </w:r>
      <w:r>
        <w:rPr>
          <w:rFonts w:cs="Arial" w:ascii="Verdana" w:hAnsi="Verdana"/>
          <w:sz w:val="16"/>
          <w:szCs w:val="16"/>
        </w:rPr>
        <w:t>35</w:t>
      </w:r>
      <w:r>
        <w:rPr>
          <w:rFonts w:cs="Arial" w:ascii="Verdana" w:hAnsi="Verdana"/>
          <w:sz w:val="16"/>
          <w:szCs w:val="16"/>
        </w:rPr>
        <w:t>, DE 1</w:t>
      </w:r>
      <w:r>
        <w:rPr>
          <w:rFonts w:cs="Arial" w:ascii="Verdana" w:hAnsi="Verdana"/>
          <w:sz w:val="16"/>
          <w:szCs w:val="16"/>
        </w:rPr>
        <w:t>2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 xml:space="preserve">SETEMBRO </w:t>
      </w:r>
      <w:r>
        <w:rPr>
          <w:rFonts w:cs="Arial" w:ascii="Verdana" w:hAnsi="Verdana"/>
          <w:sz w:val="16"/>
          <w:szCs w:val="16"/>
        </w:rPr>
        <w:t>DE 2018.</w:t>
      </w:r>
    </w:p>
    <w:p>
      <w:pPr>
        <w:pStyle w:val="NormalWeb"/>
        <w:spacing w:lineRule="auto" w:line="276" w:before="280" w:after="280"/>
        <w:ind w:left="354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“</w:t>
      </w:r>
      <w:r>
        <w:rPr>
          <w:rFonts w:cs="Arial" w:ascii="Verdana" w:hAnsi="Verdana"/>
          <w:sz w:val="16"/>
          <w:szCs w:val="16"/>
        </w:rPr>
        <w:t>Dispõem sobre a criação da Escola Pública de Trânsito do Departamento Estadual de Trânsito de Mato Grosso do Sul – DETRAN-MS”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O DIRETOR PRESIDENTE DO DEPARTAMENTO ESTADUAL DE TRÂNSITO DE MATO GROSSO DO SUL – DETRAN-MS no uso de suas atribuições legais, e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cs="Arial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Considerando os dispostos no artigo 74 da lei nº 9.503, de 23 de setembro de 1997 - Código de Trânsito Brasileiro;  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cs="Arial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Considerando o contido na Resolução CONTRAN n° 515, de 18 de dezembro de 2014 que estabelece critérios de padronização para funcionamento das Escolas Públicas de Trânsito;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cs="Arial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Considerando que as diretrizes da Política Nacional de Trânsito, com vistas à segurança, à fluidez, ao conforto, à defesa da vida e ambiental, à sustentabilidade, à educação para o trânsito, garantindo o trânsito em condições seguras, que é um direito de todos e dever dos órgãos e entidades componente do Sistema Nacional de Trânsito, a estes cabendo, no âmbito das respectivas competências, adotarem as medidas destinadas a assegurar esse direito, sendo uma delas a educação para o trânsito através de seus agentes;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RESOLVE: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Art. 1° - Criar a Escola Pública de Trânsito para promover a política nacional de trânsito e executar as ações educativas e cursos destinados ao exercício da cidadania, mobilidade e segurança no trânsito.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Art. 2° - O Diretor-Presidente designará um servidor efetivo da carreira Fiscalização e Gestão de Atividades de Trânsito do quadro de pessoal do Departamento Estadual de Trânsito de Mato Grosso do Sul, da categoria funcional de Gestor de Educação e Segurança de Trânsito, para responder pelo funcionamento e as atividades próprias da escola.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Art. 3° - Compete a Escola Pública de Trânsito – EPT: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cs="Arial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Executar cursos conforme estabelecido em planos e programas de educação de trânsito do respectivo órgão ou entidade executivo de trânsito;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Elaborar o seu projeto político pedagógico conforme os parâmetros estabelecidos e os objetivos e diretrizes da Política Nacional de Trânsito;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Gerenciar dados e informações referentes aos cursos ministrados;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Disponibilizar material didático de apoio para os cursos;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Propor a realização de parcerias com outros órgãos, entidades, instituições e segmentos organizados da sociedade para a execução dos cursos;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Incentivar e promover pesquisas e produção de conhecimento;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Promover e divulgar as atividades da EPT;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Desenvolver atividade permanente de estudos e pesquisas voltadas para a educação de trânsito, inclusive organizando e mantendo biblioteca especializada;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Executar avaliações periódicas das ações implementadas;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color w:val="00000A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Auxiliar, controlar e executar contratos e convênios firmados pelo DETRAN-MS, e conferir as respectivas prestações de contas.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color w:val="00000A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Administrar, controlar e revisar o banco de questões da prova teórico-técnica;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color w:val="00000A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Proporcionar a formação continuada para os servidores efetivos do quadro de pessoal do Detran-MS;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color w:val="00000A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Acompanhar e orientar quanto à qualidade do processo de formação de condutores de veículos automotores, organizando, dentre outras ações, cursos de qualificação e atualização do corpo docente e dirigente das empresas credenciadas;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left="2280" w:hanging="0"/>
        <w:jc w:val="both"/>
        <w:rPr>
          <w:color w:val="00000A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1429" w:hanging="578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A"/>
          <w:sz w:val="16"/>
          <w:szCs w:val="16"/>
        </w:rPr>
        <w:t>Realizar o curso prático de direção veicular a pessoas com deficiência.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Art. 4° - A Escola Pública de Trânsito será subordinada à Diretoria de Educação de Trânsito.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Art. 5° - Esta portaria entra em vigor na data de sua publicação.</w:t>
      </w:r>
    </w:p>
    <w:p>
      <w:pPr>
        <w:pStyle w:val="NormalWeb"/>
        <w:spacing w:lineRule="auto" w:line="276" w:before="280" w:after="280"/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           </w:t>
      </w:r>
      <w:r>
        <w:rPr>
          <w:rFonts w:cs="Arial" w:ascii="Verdana" w:hAnsi="Verdana"/>
          <w:sz w:val="16"/>
          <w:szCs w:val="16"/>
        </w:rPr>
        <w:t xml:space="preserve">Campo Grande, </w:t>
      </w:r>
      <w:r>
        <w:rPr>
          <w:rFonts w:cs="Arial" w:ascii="Verdana" w:hAnsi="Verdana"/>
          <w:sz w:val="16"/>
          <w:szCs w:val="16"/>
        </w:rPr>
        <w:t>12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>setembro</w:t>
      </w:r>
      <w:r>
        <w:rPr>
          <w:rFonts w:cs="Arial" w:ascii="Verdana" w:hAnsi="Verdana"/>
          <w:sz w:val="16"/>
          <w:szCs w:val="16"/>
        </w:rPr>
        <w:t xml:space="preserve"> de 2018.</w:t>
      </w:r>
    </w:p>
    <w:p>
      <w:pPr>
        <w:pStyle w:val="NormalWeb"/>
        <w:spacing w:before="280" w:after="280"/>
        <w:jc w:val="both"/>
        <w:rPr>
          <w:rFonts w:cs="Arial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ROBERTO HASHIOKA SOLER</w:t>
      </w:r>
    </w:p>
    <w:p>
      <w:pPr>
        <w:pStyle w:val="Normal"/>
        <w:spacing w:lineRule="auto" w:line="240" w:before="0" w:after="20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mallCaps/>
          <w:sz w:val="16"/>
          <w:szCs w:val="16"/>
        </w:rPr>
        <w:t>DIRETOR- PRESIDENTE</w:t>
      </w:r>
    </w:p>
    <w:sectPr>
      <w:type w:val="nextPage"/>
      <w:pgSz w:w="11906" w:h="16838"/>
      <w:pgMar w:left="2552" w:right="2267" w:header="0" w:top="113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57e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a3c6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0621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6318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363181"/>
    <w:rPr/>
  </w:style>
  <w:style w:type="character" w:styleId="LinkdaInternet" w:customStyle="1">
    <w:name w:val="Link da Internet"/>
    <w:basedOn w:val="DefaultParagraphFont"/>
    <w:uiPriority w:val="99"/>
    <w:unhideWhenUsed/>
    <w:rsid w:val="00db083f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13" w:customStyle="1">
    <w:name w:val="ListLabel 13"/>
    <w:qFormat/>
    <w:rPr>
      <w:rFonts w:ascii="Arial" w:hAnsi="Arial"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  <w:sz w:val="24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Arial" w:hAnsi="Arial"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Wingdings"/>
      <w:sz w:val="24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Wingdings"/>
      <w:sz w:val="24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a3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62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0bc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36318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36318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65C1-333A-4065-841E-A061B62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LibreOffice/5.1.6.2$Linux_X86_64 LibreOffice_project/10m0$Build-2</Application>
  <Pages>2</Pages>
  <Words>534</Words>
  <Characters>2954</Characters>
  <CharactersWithSpaces>3462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2015-04-22T14:16:00Z</dcterms:created>
  <dc:creator>Edferreira</dc:creator>
  <dc:description/>
  <dc:language>pt-BR</dc:language>
  <cp:lastModifiedBy/>
  <cp:lastPrinted>2018-09-13T10:02:02Z</cp:lastPrinted>
  <dcterms:modified xsi:type="dcterms:W3CDTF">2018-09-13T10:04:28Z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